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01EE67">
      <w:pPr>
        <w:pStyle w:val="2"/>
        <w:spacing w:line="275" w:lineRule="auto"/>
        <w:jc w:val="center"/>
        <w:rPr>
          <w:rFonts w:hint="eastAsia" w:ascii="方正小标宋简体" w:hAnsi="方正小标宋简体" w:eastAsia="方正小标宋简体" w:cs="方正小标宋简体"/>
          <w:spacing w:val="10"/>
          <w:sz w:val="43"/>
          <w:szCs w:val="43"/>
          <w:lang w:eastAsia="zh-CN"/>
        </w:rPr>
      </w:pPr>
      <w:r>
        <w:rPr>
          <w:rFonts w:ascii="方正小标宋简体" w:hAnsi="方正小标宋简体" w:eastAsia="方正小标宋简体" w:cs="方正小标宋简体"/>
          <w:spacing w:val="9"/>
          <w:sz w:val="43"/>
          <w:szCs w:val="43"/>
        </w:rPr>
        <w:t>准格尔旗卫生健康委员会</w:t>
      </w:r>
    </w:p>
    <w:p w14:paraId="38B369F4">
      <w:pPr>
        <w:pStyle w:val="2"/>
        <w:spacing w:line="275" w:lineRule="auto"/>
        <w:jc w:val="center"/>
      </w:pPr>
      <w:r>
        <w:rPr>
          <w:rFonts w:hint="eastAsia" w:ascii="方正小标宋简体" w:hAnsi="方正小标宋简体" w:eastAsia="方正小标宋简体" w:cs="方正小标宋简体"/>
          <w:spacing w:val="10"/>
          <w:sz w:val="43"/>
          <w:szCs w:val="43"/>
          <w:lang w:eastAsia="zh-CN"/>
        </w:rPr>
        <w:t>“</w:t>
      </w:r>
      <w:r>
        <w:rPr>
          <w:rFonts w:ascii="方正小标宋简体" w:hAnsi="方正小标宋简体" w:eastAsia="方正小标宋简体" w:cs="方正小标宋简体"/>
          <w:spacing w:val="10"/>
          <w:sz w:val="43"/>
          <w:szCs w:val="43"/>
        </w:rPr>
        <w:t>双随机</w:t>
      </w:r>
      <w:r>
        <w:rPr>
          <w:rFonts w:ascii="方正小标宋简体" w:hAnsi="方正小标宋简体" w:eastAsia="方正小标宋简体" w:cs="方正小标宋简体"/>
          <w:spacing w:val="-40"/>
          <w:sz w:val="43"/>
          <w:szCs w:val="43"/>
        </w:rPr>
        <w:t xml:space="preserve"> </w:t>
      </w:r>
      <w:r>
        <w:rPr>
          <w:rFonts w:ascii="方正小标宋简体" w:hAnsi="方正小标宋简体" w:eastAsia="方正小标宋简体" w:cs="方正小标宋简体"/>
          <w:spacing w:val="10"/>
          <w:sz w:val="43"/>
          <w:szCs w:val="43"/>
        </w:rPr>
        <w:t>、一公开</w:t>
      </w:r>
      <w:r>
        <w:rPr>
          <w:rFonts w:ascii="Times New Roman" w:hAnsi="Times New Roman" w:eastAsia="Times New Roman" w:cs="Times New Roman"/>
          <w:spacing w:val="10"/>
          <w:sz w:val="43"/>
          <w:szCs w:val="43"/>
        </w:rPr>
        <w:t>”</w:t>
      </w:r>
      <w:r>
        <w:rPr>
          <w:rFonts w:ascii="方正小标宋简体" w:hAnsi="方正小标宋简体" w:eastAsia="方正小标宋简体" w:cs="方正小标宋简体"/>
          <w:spacing w:val="10"/>
          <w:sz w:val="43"/>
          <w:szCs w:val="43"/>
        </w:rPr>
        <w:t>工作计划</w:t>
      </w:r>
    </w:p>
    <w:p w14:paraId="4EF1B309">
      <w:pPr>
        <w:spacing w:before="101" w:line="333" w:lineRule="auto"/>
        <w:jc w:val="both"/>
        <w:rPr>
          <w:rFonts w:ascii="FangSong_GB2312" w:hAnsi="FangSong_GB2312" w:eastAsia="FangSong_GB2312" w:cs="FangSong_GB2312"/>
          <w:spacing w:val="6"/>
          <w:sz w:val="31"/>
          <w:szCs w:val="31"/>
        </w:rPr>
      </w:pPr>
    </w:p>
    <w:p w14:paraId="4F786BE1">
      <w:pPr>
        <w:spacing w:before="101" w:line="333" w:lineRule="auto"/>
        <w:jc w:val="both"/>
        <w:rPr>
          <w:rFonts w:ascii="FangSong_GB2312" w:hAnsi="FangSong_GB2312" w:eastAsia="FangSong_GB2312" w:cs="FangSong_GB2312"/>
          <w:spacing w:val="6"/>
          <w:sz w:val="31"/>
          <w:szCs w:val="31"/>
        </w:rPr>
      </w:pPr>
      <w:r>
        <w:rPr>
          <w:rFonts w:ascii="FangSong_GB2312" w:hAnsi="FangSong_GB2312" w:eastAsia="FangSong_GB2312" w:cs="FangSong_GB2312"/>
          <w:spacing w:val="6"/>
          <w:sz w:val="31"/>
          <w:szCs w:val="31"/>
        </w:rPr>
        <w:t>各卫生健康单位：</w:t>
      </w:r>
    </w:p>
    <w:p w14:paraId="281D21A3">
      <w:pPr>
        <w:spacing w:before="101" w:line="333" w:lineRule="auto"/>
        <w:ind w:firstLine="644" w:firstLineChars="200"/>
        <w:jc w:val="both"/>
        <w:rPr>
          <w:rFonts w:ascii="FangSong_GB2312" w:hAnsi="FangSong_GB2312" w:eastAsia="FangSong_GB2312" w:cs="FangSong_GB2312"/>
          <w:spacing w:val="6"/>
          <w:sz w:val="31"/>
          <w:szCs w:val="31"/>
        </w:rPr>
      </w:pPr>
      <w:r>
        <w:rPr>
          <w:rFonts w:ascii="FangSong_GB2312" w:hAnsi="FangSong_GB2312" w:eastAsia="FangSong_GB2312" w:cs="FangSong_GB2312"/>
          <w:spacing w:val="6"/>
          <w:sz w:val="31"/>
          <w:szCs w:val="31"/>
        </w:rPr>
        <w:t>为了持续优化营商环境，规范市场秩序和执法行为，提升监管效能，加强公共卫生、医疗卫生、职业卫生监督执法工作。按照国家、自治区、市、旗关于“双随机、一公开”的工作部署要求，我委制定了2025 年随机监督抽查计划。</w:t>
      </w:r>
    </w:p>
    <w:p w14:paraId="56286F48">
      <w:pPr>
        <w:spacing w:line="226" w:lineRule="auto"/>
        <w:ind w:left="655"/>
        <w:outlineLvl w:val="1"/>
        <w:rPr>
          <w:rFonts w:ascii="黑体" w:hAnsi="黑体" w:eastAsia="黑体" w:cs="黑体"/>
          <w:spacing w:val="7"/>
          <w:sz w:val="31"/>
          <w:szCs w:val="31"/>
        </w:rPr>
      </w:pPr>
      <w:r>
        <w:rPr>
          <w:rFonts w:ascii="黑体" w:hAnsi="黑体" w:eastAsia="黑体" w:cs="黑体"/>
          <w:spacing w:val="7"/>
          <w:sz w:val="31"/>
          <w:szCs w:val="31"/>
        </w:rPr>
        <w:t>一、基本情况</w:t>
      </w:r>
    </w:p>
    <w:p w14:paraId="67CC5B45">
      <w:pPr>
        <w:spacing w:before="101" w:line="333" w:lineRule="auto"/>
        <w:ind w:firstLine="644" w:firstLineChars="200"/>
        <w:jc w:val="both"/>
        <w:rPr>
          <w:rFonts w:ascii="FangSong_GB2312" w:hAnsi="FangSong_GB2312" w:eastAsia="FangSong_GB2312" w:cs="FangSong_GB2312"/>
          <w:sz w:val="31"/>
          <w:szCs w:val="31"/>
        </w:rPr>
      </w:pPr>
      <w:r>
        <w:rPr>
          <w:rFonts w:ascii="FangSong_GB2312" w:hAnsi="FangSong_GB2312" w:eastAsia="FangSong_GB2312" w:cs="FangSong_GB2312"/>
          <w:spacing w:val="6"/>
          <w:sz w:val="31"/>
          <w:szCs w:val="31"/>
        </w:rPr>
        <w:t>全面推行“双随机、一公开”监管，提升了事中事后监管效能，进一步完善了检查对象名录库和执法人员名录库，按照《准格尔旗卫生健康委员会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“</w:t>
      </w:r>
      <w:r>
        <w:rPr>
          <w:rFonts w:ascii="FangSong_GB2312" w:hAnsi="FangSong_GB2312" w:eastAsia="FangSong_GB2312" w:cs="FangSong_GB2312"/>
          <w:spacing w:val="6"/>
          <w:sz w:val="31"/>
          <w:szCs w:val="31"/>
        </w:rPr>
        <w:t>双随机、一公开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”</w:t>
      </w:r>
      <w:r>
        <w:rPr>
          <w:rFonts w:ascii="FangSong_GB2312" w:hAnsi="FangSong_GB2312" w:eastAsia="FangSong_GB2312" w:cs="FangSong_GB2312"/>
          <w:spacing w:val="6"/>
          <w:sz w:val="31"/>
          <w:szCs w:val="31"/>
        </w:rPr>
        <w:t>抽查工作细则》，全面落实</w:t>
      </w:r>
      <w:r>
        <w:rPr>
          <w:rFonts w:ascii="FangSong_GB2312" w:hAnsi="FangSong_GB2312" w:eastAsia="FangSong_GB2312" w:cs="FangSong_GB2312"/>
          <w:spacing w:val="7"/>
          <w:sz w:val="31"/>
          <w:szCs w:val="31"/>
        </w:rPr>
        <w:t>了</w:t>
      </w:r>
      <w:r>
        <w:rPr>
          <w:rFonts w:ascii="Times New Roman" w:hAnsi="Times New Roman" w:eastAsia="Times New Roman" w:cs="Times New Roman"/>
          <w:spacing w:val="7"/>
          <w:sz w:val="31"/>
          <w:szCs w:val="31"/>
        </w:rPr>
        <w:t>“</w:t>
      </w:r>
      <w:r>
        <w:rPr>
          <w:rFonts w:ascii="FangSong_GB2312" w:hAnsi="FangSong_GB2312" w:eastAsia="FangSong_GB2312" w:cs="FangSong_GB2312"/>
          <w:spacing w:val="7"/>
          <w:sz w:val="31"/>
          <w:szCs w:val="31"/>
        </w:rPr>
        <w:t>双随机、一公开</w:t>
      </w:r>
      <w:r>
        <w:rPr>
          <w:rFonts w:ascii="Times New Roman" w:hAnsi="Times New Roman" w:eastAsia="Times New Roman" w:cs="Times New Roman"/>
          <w:spacing w:val="7"/>
          <w:sz w:val="31"/>
          <w:szCs w:val="31"/>
        </w:rPr>
        <w:t>”</w:t>
      </w:r>
      <w:r>
        <w:rPr>
          <w:rFonts w:ascii="FangSong_GB2312" w:hAnsi="FangSong_GB2312" w:eastAsia="FangSong_GB2312" w:cs="FangSong_GB2312"/>
          <w:spacing w:val="7"/>
          <w:sz w:val="31"/>
          <w:szCs w:val="31"/>
        </w:rPr>
        <w:t>监管机制，开展部门联合抽查</w:t>
      </w:r>
      <w:r>
        <w:rPr>
          <w:rFonts w:ascii="FangSong_GB2312" w:hAnsi="FangSong_GB2312" w:eastAsia="FangSong_GB2312" w:cs="FangSong_GB2312"/>
          <w:spacing w:val="6"/>
          <w:sz w:val="31"/>
          <w:szCs w:val="31"/>
        </w:rPr>
        <w:t>和内部抽查，</w:t>
      </w:r>
      <w:r>
        <w:rPr>
          <w:rFonts w:ascii="FangSong_GB2312" w:hAnsi="FangSong_GB2312" w:eastAsia="FangSong_GB2312" w:cs="FangSong_GB2312"/>
          <w:spacing w:val="8"/>
          <w:sz w:val="31"/>
          <w:szCs w:val="31"/>
        </w:rPr>
        <w:t>内部抽查按照风险分级，分为</w:t>
      </w:r>
      <w:r>
        <w:rPr>
          <w:rFonts w:ascii="FangSong_GB2312" w:hAnsi="FangSong_GB2312" w:eastAsia="FangSong_GB2312" w:cs="FangSong_GB2312"/>
          <w:spacing w:val="-55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z w:val="31"/>
          <w:szCs w:val="31"/>
        </w:rPr>
        <w:t>ABCD</w:t>
      </w:r>
      <w:r>
        <w:rPr>
          <w:rFonts w:ascii="Times New Roman" w:hAnsi="Times New Roman" w:eastAsia="Times New Roman" w:cs="Times New Roman"/>
          <w:spacing w:val="27"/>
          <w:w w:val="101"/>
          <w:sz w:val="31"/>
          <w:szCs w:val="31"/>
        </w:rPr>
        <w:t xml:space="preserve">  </w:t>
      </w:r>
      <w:r>
        <w:rPr>
          <w:rFonts w:ascii="FangSong_GB2312" w:hAnsi="FangSong_GB2312" w:eastAsia="FangSong_GB2312" w:cs="FangSong_GB2312"/>
          <w:spacing w:val="8"/>
          <w:sz w:val="31"/>
          <w:szCs w:val="31"/>
        </w:rPr>
        <w:t>四个信用风险综合评价等</w:t>
      </w:r>
      <w:r>
        <w:rPr>
          <w:rFonts w:ascii="FangSong_GB2312" w:hAnsi="FangSong_GB2312" w:eastAsia="FangSong_GB2312" w:cs="FangSong_GB2312"/>
          <w:spacing w:val="4"/>
          <w:sz w:val="31"/>
          <w:szCs w:val="31"/>
        </w:rPr>
        <w:t>级：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A-</w:t>
      </w:r>
      <w:r>
        <w:rPr>
          <w:rFonts w:ascii="FangSong_GB2312" w:hAnsi="FangSong_GB2312" w:eastAsia="FangSong_GB2312" w:cs="FangSong_GB2312"/>
          <w:spacing w:val="4"/>
          <w:sz w:val="31"/>
          <w:szCs w:val="31"/>
        </w:rPr>
        <w:t>低风险，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B-</w:t>
      </w:r>
      <w:r>
        <w:rPr>
          <w:rFonts w:ascii="FangSong_GB2312" w:hAnsi="FangSong_GB2312" w:eastAsia="FangSong_GB2312" w:cs="FangSong_GB2312"/>
          <w:spacing w:val="4"/>
          <w:sz w:val="31"/>
          <w:szCs w:val="31"/>
        </w:rPr>
        <w:t>一般风险，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C-</w:t>
      </w:r>
      <w:r>
        <w:rPr>
          <w:rFonts w:ascii="FangSong_GB2312" w:hAnsi="FangSong_GB2312" w:eastAsia="FangSong_GB2312" w:cs="FangSong_GB2312"/>
          <w:spacing w:val="4"/>
          <w:sz w:val="31"/>
          <w:szCs w:val="31"/>
        </w:rPr>
        <w:t>较高风险，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D-</w:t>
      </w:r>
      <w:r>
        <w:rPr>
          <w:rFonts w:ascii="FangSong_GB2312" w:hAnsi="FangSong_GB2312" w:eastAsia="FangSong_GB2312" w:cs="FangSong_GB2312"/>
          <w:spacing w:val="4"/>
          <w:sz w:val="31"/>
          <w:szCs w:val="31"/>
        </w:rPr>
        <w:t>高风险（抽</w:t>
      </w:r>
      <w:r>
        <w:rPr>
          <w:rFonts w:ascii="FangSong_GB2312" w:hAnsi="FangSong_GB2312" w:eastAsia="FangSong_GB2312" w:cs="FangSong_GB2312"/>
          <w:spacing w:val="3"/>
          <w:sz w:val="31"/>
          <w:szCs w:val="31"/>
        </w:rPr>
        <w:t>查比例</w:t>
      </w:r>
      <w:r>
        <w:rPr>
          <w:rFonts w:ascii="Times New Roman" w:hAnsi="Times New Roman" w:eastAsia="Times New Roman" w:cs="Times New Roman"/>
          <w:spacing w:val="4"/>
          <w:sz w:val="31"/>
          <w:szCs w:val="31"/>
        </w:rPr>
        <w:t>A:5% B:10% C:15% D:20%</w:t>
      </w:r>
      <w:r>
        <w:rPr>
          <w:rFonts w:ascii="FangSong_GB2312" w:hAnsi="FangSong_GB2312" w:eastAsia="FangSong_GB2312" w:cs="FangSong_GB2312"/>
          <w:spacing w:val="4"/>
          <w:sz w:val="31"/>
          <w:szCs w:val="31"/>
        </w:rPr>
        <w:t>）。</w:t>
      </w:r>
    </w:p>
    <w:p w14:paraId="0A2E9A3C">
      <w:pPr>
        <w:spacing w:line="226" w:lineRule="auto"/>
        <w:ind w:left="655"/>
        <w:outlineLvl w:val="1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spacing w:val="7"/>
          <w:sz w:val="31"/>
          <w:szCs w:val="31"/>
        </w:rPr>
        <w:t>二、工作步骤</w:t>
      </w:r>
    </w:p>
    <w:p w14:paraId="0CA1665E">
      <w:pPr>
        <w:spacing w:before="182" w:line="225" w:lineRule="auto"/>
        <w:ind w:left="642"/>
        <w:rPr>
          <w:rFonts w:ascii="KaiTi_GB2312" w:hAnsi="KaiTi_GB2312" w:eastAsia="KaiTi_GB2312" w:cs="KaiTi_GB2312"/>
          <w:sz w:val="31"/>
          <w:szCs w:val="31"/>
        </w:rPr>
      </w:pPr>
      <w:r>
        <w:rPr>
          <w:rFonts w:ascii="KaiTi_GB2312" w:hAnsi="KaiTi_GB2312" w:eastAsia="KaiTi_GB2312" w:cs="KaiTi_GB2312"/>
          <w:spacing w:val="9"/>
          <w:sz w:val="31"/>
          <w:szCs w:val="31"/>
        </w:rPr>
        <w:t>（一）随机抽查阶段</w:t>
      </w:r>
    </w:p>
    <w:p w14:paraId="4B863F3D">
      <w:pPr>
        <w:spacing w:before="182" w:line="333" w:lineRule="auto"/>
        <w:ind w:left="7" w:firstLine="643"/>
        <w:rPr>
          <w:rFonts w:ascii="FangSong_GB2312" w:hAnsi="FangSong_GB2312" w:eastAsia="FangSong_GB2312" w:cs="FangSong_GB2312"/>
          <w:sz w:val="31"/>
          <w:szCs w:val="31"/>
        </w:rPr>
      </w:pPr>
      <w:r>
        <w:rPr>
          <w:rFonts w:ascii="FangSong_GB2312" w:hAnsi="FangSong_GB2312" w:eastAsia="FangSong_GB2312" w:cs="FangSong_GB2312"/>
          <w:spacing w:val="9"/>
          <w:sz w:val="31"/>
          <w:szCs w:val="31"/>
        </w:rPr>
        <w:t>部门协同监管平台发起抽查计划任务。采取随机抽取的方</w:t>
      </w:r>
      <w:r>
        <w:rPr>
          <w:rFonts w:ascii="FangSong_GB2312" w:hAnsi="FangSong_GB2312" w:eastAsia="FangSong_GB2312" w:cs="FangSong_GB2312"/>
          <w:spacing w:val="5"/>
          <w:sz w:val="31"/>
          <w:szCs w:val="31"/>
        </w:rPr>
        <w:t>式，从抽查对象名录库中确定被检查对象；从执法人员名录库中随机抽取执法检查人员。被检查对象和检查人员确定后，部门协同监管平台随机匹配，生成一户企业一份随机抽查联合检查记录</w:t>
      </w:r>
      <w:r>
        <w:rPr>
          <w:rFonts w:ascii="FangSong_GB2312" w:hAnsi="FangSong_GB2312" w:eastAsia="FangSong_GB2312" w:cs="FangSong_GB2312"/>
          <w:spacing w:val="8"/>
          <w:sz w:val="31"/>
          <w:szCs w:val="31"/>
        </w:rPr>
        <w:t>表，并派发到执法检查人员。</w:t>
      </w:r>
    </w:p>
    <w:p w14:paraId="70802E10">
      <w:pPr>
        <w:spacing w:before="4" w:line="224" w:lineRule="auto"/>
        <w:ind w:left="642"/>
        <w:rPr>
          <w:rFonts w:ascii="KaiTi_GB2312" w:hAnsi="KaiTi_GB2312" w:eastAsia="KaiTi_GB2312" w:cs="KaiTi_GB2312"/>
          <w:sz w:val="31"/>
          <w:szCs w:val="31"/>
        </w:rPr>
      </w:pPr>
      <w:r>
        <w:rPr>
          <w:rFonts w:ascii="KaiTi_GB2312" w:hAnsi="KaiTi_GB2312" w:eastAsia="KaiTi_GB2312" w:cs="KaiTi_GB2312"/>
          <w:spacing w:val="9"/>
          <w:sz w:val="31"/>
          <w:szCs w:val="31"/>
        </w:rPr>
        <w:t>（二）抽查实施阶段</w:t>
      </w:r>
    </w:p>
    <w:p w14:paraId="3DA03B62">
      <w:pPr>
        <w:spacing w:before="187" w:line="333" w:lineRule="auto"/>
        <w:ind w:left="12" w:right="2" w:firstLine="644"/>
        <w:jc w:val="both"/>
        <w:rPr>
          <w:rFonts w:ascii="FangSong_GB2312" w:hAnsi="FangSong_GB2312" w:eastAsia="FangSong_GB2312" w:cs="FangSong_GB2312"/>
          <w:sz w:val="31"/>
          <w:szCs w:val="31"/>
        </w:rPr>
      </w:pPr>
      <w:r>
        <w:rPr>
          <w:rFonts w:ascii="FangSong_GB2312" w:hAnsi="FangSong_GB2312" w:eastAsia="FangSong_GB2312" w:cs="FangSong_GB2312"/>
          <w:spacing w:val="5"/>
          <w:sz w:val="31"/>
          <w:szCs w:val="31"/>
        </w:rPr>
        <w:t>对抽查对象实地检查时，每组检查人员不得</w:t>
      </w:r>
      <w:r>
        <w:rPr>
          <w:rFonts w:ascii="FangSong_GB2312" w:hAnsi="FangSong_GB2312" w:eastAsia="FangSong_GB2312" w:cs="FangSong_GB2312"/>
          <w:spacing w:val="4"/>
          <w:sz w:val="31"/>
          <w:szCs w:val="31"/>
        </w:rPr>
        <w:t>少于两人，并出</w:t>
      </w:r>
      <w:r>
        <w:rPr>
          <w:rFonts w:ascii="FangSong_GB2312" w:hAnsi="FangSong_GB2312" w:eastAsia="FangSong_GB2312" w:cs="FangSong_GB2312"/>
          <w:spacing w:val="5"/>
          <w:sz w:val="31"/>
          <w:szCs w:val="31"/>
        </w:rPr>
        <w:t>示执法证件。检查人员要如实记录检查情况、填写检查表并要求企业法定代表人（负责人）签字或者盖章，无法取得签字或者盖章的，检查人员应当注明原因，必要时可邀请有关人员作为见证人。发现的违法违规行为要依法加大惩处力度，涉嫌犯罪的及时</w:t>
      </w:r>
      <w:r>
        <w:rPr>
          <w:rFonts w:ascii="FangSong_GB2312" w:hAnsi="FangSong_GB2312" w:eastAsia="FangSong_GB2312" w:cs="FangSong_GB2312"/>
          <w:spacing w:val="6"/>
          <w:sz w:val="31"/>
          <w:szCs w:val="31"/>
        </w:rPr>
        <w:t>移送司法机关。</w:t>
      </w:r>
    </w:p>
    <w:p w14:paraId="71C98FE5">
      <w:pPr>
        <w:spacing w:line="225" w:lineRule="auto"/>
        <w:ind w:left="633"/>
        <w:rPr>
          <w:rFonts w:ascii="KaiTi_GB2312" w:hAnsi="KaiTi_GB2312" w:eastAsia="KaiTi_GB2312" w:cs="KaiTi_GB2312"/>
          <w:sz w:val="31"/>
          <w:szCs w:val="31"/>
        </w:rPr>
      </w:pPr>
      <w:r>
        <w:rPr>
          <w:rFonts w:ascii="KaiTi_GB2312" w:hAnsi="KaiTi_GB2312" w:eastAsia="KaiTi_GB2312" w:cs="KaiTi_GB2312"/>
          <w:spacing w:val="9"/>
          <w:sz w:val="31"/>
          <w:szCs w:val="31"/>
        </w:rPr>
        <w:t>（三）结果公示阶段</w:t>
      </w:r>
    </w:p>
    <w:p w14:paraId="24019C8E">
      <w:pPr>
        <w:spacing w:before="101" w:line="332" w:lineRule="auto"/>
        <w:ind w:right="49" w:firstLine="644" w:firstLineChars="200"/>
        <w:jc w:val="both"/>
        <w:rPr>
          <w:rFonts w:ascii="FangSong_GB2312" w:hAnsi="FangSong_GB2312" w:eastAsia="FangSong_GB2312" w:cs="FangSong_GB2312"/>
          <w:sz w:val="31"/>
          <w:szCs w:val="31"/>
        </w:rPr>
      </w:pPr>
      <w:r>
        <w:rPr>
          <w:rFonts w:ascii="FangSong_GB2312" w:hAnsi="FangSong_GB2312" w:eastAsia="FangSong_GB2312" w:cs="FangSong_GB2312"/>
          <w:spacing w:val="6"/>
          <w:sz w:val="31"/>
          <w:szCs w:val="31"/>
        </w:rPr>
        <w:t>现场抽查检查结束后，按照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“</w:t>
      </w:r>
      <w:r>
        <w:rPr>
          <w:rFonts w:ascii="FangSong_GB2312" w:hAnsi="FangSong_GB2312" w:eastAsia="FangSong_GB2312" w:cs="FangSong_GB2312"/>
          <w:spacing w:val="6"/>
          <w:sz w:val="31"/>
          <w:szCs w:val="31"/>
        </w:rPr>
        <w:t>谁检查、谁录</w:t>
      </w:r>
      <w:r>
        <w:rPr>
          <w:rFonts w:ascii="FangSong_GB2312" w:hAnsi="FangSong_GB2312" w:eastAsia="FangSong_GB2312" w:cs="FangSong_GB2312"/>
          <w:spacing w:val="5"/>
          <w:sz w:val="31"/>
          <w:szCs w:val="31"/>
        </w:rPr>
        <w:t>入、谁公开</w:t>
      </w:r>
      <w:r>
        <w:rPr>
          <w:rFonts w:ascii="Times New Roman" w:hAnsi="Times New Roman" w:eastAsia="Times New Roman" w:cs="Times New Roman"/>
          <w:spacing w:val="5"/>
          <w:sz w:val="31"/>
          <w:szCs w:val="31"/>
        </w:rPr>
        <w:t>”</w:t>
      </w:r>
      <w:r>
        <w:rPr>
          <w:rFonts w:ascii="FangSong_GB2312" w:hAnsi="FangSong_GB2312" w:eastAsia="FangSong_GB2312" w:cs="FangSong_GB2312"/>
          <w:spacing w:val="5"/>
          <w:sz w:val="31"/>
          <w:szCs w:val="31"/>
        </w:rPr>
        <w:t>的原</w:t>
      </w:r>
      <w:r>
        <w:rPr>
          <w:rFonts w:ascii="FangSong_GB2312" w:hAnsi="FangSong_GB2312" w:eastAsia="FangSong_GB2312" w:cs="FangSong_GB2312"/>
          <w:spacing w:val="8"/>
          <w:sz w:val="31"/>
          <w:szCs w:val="31"/>
        </w:rPr>
        <w:t>则，执法检查人员在</w:t>
      </w:r>
      <w:r>
        <w:rPr>
          <w:rFonts w:ascii="Times New Roman" w:hAnsi="Times New Roman" w:eastAsia="Times New Roman" w:cs="Times New Roman"/>
          <w:spacing w:val="8"/>
          <w:sz w:val="31"/>
          <w:szCs w:val="31"/>
        </w:rPr>
        <w:t xml:space="preserve">7 </w:t>
      </w:r>
      <w:r>
        <w:rPr>
          <w:rFonts w:ascii="FangSong_GB2312" w:hAnsi="FangSong_GB2312" w:eastAsia="FangSong_GB2312" w:cs="FangSong_GB2312"/>
          <w:spacing w:val="8"/>
          <w:sz w:val="31"/>
          <w:szCs w:val="31"/>
        </w:rPr>
        <w:t>个工作日内将抽查结果</w:t>
      </w:r>
      <w:r>
        <w:rPr>
          <w:rFonts w:ascii="FangSong_GB2312" w:hAnsi="FangSong_GB2312" w:eastAsia="FangSong_GB2312" w:cs="FangSong_GB2312"/>
          <w:spacing w:val="7"/>
          <w:sz w:val="31"/>
          <w:szCs w:val="31"/>
        </w:rPr>
        <w:t>录入部门协同监管</w:t>
      </w:r>
      <w:r>
        <w:rPr>
          <w:rFonts w:ascii="FangSong_GB2312" w:hAnsi="FangSong_GB2312" w:eastAsia="FangSong_GB2312" w:cs="FangSong_GB2312"/>
          <w:spacing w:val="6"/>
          <w:sz w:val="31"/>
          <w:szCs w:val="31"/>
        </w:rPr>
        <w:t>平台，抽确保检查结果录入率和公示率达到</w:t>
      </w:r>
      <w:r>
        <w:rPr>
          <w:rFonts w:ascii="FangSong_GB2312" w:hAnsi="FangSong_GB2312" w:eastAsia="FangSong_GB2312" w:cs="FangSong_GB2312"/>
          <w:spacing w:val="-25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6"/>
          <w:sz w:val="31"/>
          <w:szCs w:val="31"/>
        </w:rPr>
        <w:t>100%</w:t>
      </w:r>
      <w:r>
        <w:rPr>
          <w:rFonts w:ascii="FangSong_GB2312" w:hAnsi="FangSong_GB2312" w:eastAsia="FangSong_GB2312" w:cs="FangSong_GB2312"/>
          <w:spacing w:val="6"/>
          <w:sz w:val="31"/>
          <w:szCs w:val="31"/>
        </w:rPr>
        <w:t>。</w:t>
      </w:r>
    </w:p>
    <w:p w14:paraId="40654CD2">
      <w:pPr>
        <w:spacing w:before="3" w:line="227" w:lineRule="auto"/>
        <w:ind w:left="717"/>
        <w:outlineLvl w:val="1"/>
        <w:rPr>
          <w:rFonts w:ascii="黑体" w:hAnsi="黑体" w:eastAsia="黑体" w:cs="黑体"/>
          <w:sz w:val="31"/>
          <w:szCs w:val="31"/>
        </w:rPr>
      </w:pPr>
      <w:r>
        <w:rPr>
          <w:rFonts w:ascii="黑体" w:hAnsi="黑体" w:eastAsia="黑体" w:cs="黑体"/>
          <w:spacing w:val="6"/>
          <w:sz w:val="31"/>
          <w:szCs w:val="31"/>
        </w:rPr>
        <w:t>三、工作要求</w:t>
      </w:r>
    </w:p>
    <w:p w14:paraId="421B52E7">
      <w:pPr>
        <w:spacing w:before="184" w:line="314" w:lineRule="auto"/>
        <w:ind w:left="63" w:firstLine="640"/>
        <w:rPr>
          <w:rFonts w:ascii="FangSong_GB2312" w:hAnsi="FangSong_GB2312" w:eastAsia="FangSong_GB2312" w:cs="FangSong_GB2312"/>
          <w:sz w:val="31"/>
          <w:szCs w:val="31"/>
        </w:rPr>
      </w:pPr>
      <w:r>
        <w:rPr>
          <w:rFonts w:ascii="KaiTi_GB2312" w:hAnsi="KaiTi_GB2312" w:eastAsia="KaiTi_GB2312" w:cs="KaiTi_GB2312"/>
          <w:spacing w:val="9"/>
          <w:sz w:val="31"/>
          <w:szCs w:val="31"/>
        </w:rPr>
        <w:t>（一）提高认识，加强组织领导。</w:t>
      </w:r>
      <w:r>
        <w:rPr>
          <w:rFonts w:ascii="FangSong_GB2312" w:hAnsi="FangSong_GB2312" w:eastAsia="FangSong_GB2312" w:cs="FangSong_GB2312"/>
          <w:spacing w:val="9"/>
          <w:sz w:val="31"/>
          <w:szCs w:val="31"/>
        </w:rPr>
        <w:t>全面推行</w:t>
      </w:r>
      <w:r>
        <w:rPr>
          <w:rFonts w:ascii="Times New Roman" w:hAnsi="Times New Roman" w:eastAsia="Times New Roman" w:cs="Times New Roman"/>
          <w:spacing w:val="9"/>
          <w:sz w:val="31"/>
          <w:szCs w:val="31"/>
        </w:rPr>
        <w:t>“</w:t>
      </w:r>
      <w:r>
        <w:rPr>
          <w:rFonts w:ascii="FangSong_GB2312" w:hAnsi="FangSong_GB2312" w:eastAsia="FangSong_GB2312" w:cs="FangSong_GB2312"/>
          <w:spacing w:val="9"/>
          <w:sz w:val="31"/>
          <w:szCs w:val="31"/>
        </w:rPr>
        <w:t>双随机、一公开</w:t>
      </w:r>
      <w:r>
        <w:rPr>
          <w:rFonts w:ascii="Times New Roman" w:hAnsi="Times New Roman" w:eastAsia="Times New Roman" w:cs="Times New Roman"/>
          <w:spacing w:val="9"/>
          <w:sz w:val="31"/>
          <w:szCs w:val="31"/>
        </w:rPr>
        <w:t>”</w:t>
      </w:r>
      <w:r>
        <w:rPr>
          <w:rFonts w:ascii="FangSong_GB2312" w:hAnsi="FangSong_GB2312" w:eastAsia="FangSong_GB2312" w:cs="FangSong_GB2312"/>
          <w:spacing w:val="9"/>
          <w:sz w:val="31"/>
          <w:szCs w:val="31"/>
        </w:rPr>
        <w:t>监管，是贯彻落实党中央、国务院</w:t>
      </w:r>
      <w:r>
        <w:rPr>
          <w:rFonts w:ascii="Times New Roman" w:hAnsi="Times New Roman" w:eastAsia="Times New Roman" w:cs="Times New Roman"/>
          <w:spacing w:val="9"/>
          <w:sz w:val="31"/>
          <w:szCs w:val="31"/>
        </w:rPr>
        <w:t>“</w:t>
      </w:r>
      <w:r>
        <w:rPr>
          <w:rFonts w:ascii="FangSong_GB2312" w:hAnsi="FangSong_GB2312" w:eastAsia="FangSong_GB2312" w:cs="FangSong_GB2312"/>
          <w:spacing w:val="9"/>
          <w:sz w:val="31"/>
          <w:szCs w:val="31"/>
        </w:rPr>
        <w:t>放管服</w:t>
      </w:r>
      <w:r>
        <w:rPr>
          <w:rFonts w:ascii="Times New Roman" w:hAnsi="Times New Roman" w:eastAsia="Times New Roman" w:cs="Times New Roman"/>
          <w:spacing w:val="9"/>
          <w:sz w:val="31"/>
          <w:szCs w:val="31"/>
        </w:rPr>
        <w:t>”</w:t>
      </w:r>
      <w:r>
        <w:rPr>
          <w:rFonts w:ascii="FangSong_GB2312" w:hAnsi="FangSong_GB2312" w:eastAsia="FangSong_GB2312" w:cs="FangSong_GB2312"/>
          <w:spacing w:val="9"/>
          <w:sz w:val="31"/>
          <w:szCs w:val="31"/>
        </w:rPr>
        <w:t>改革决策部署的</w:t>
      </w:r>
      <w:r>
        <w:rPr>
          <w:rFonts w:ascii="FangSong_GB2312" w:hAnsi="FangSong_GB2312" w:eastAsia="FangSong_GB2312" w:cs="FangSong_GB2312"/>
          <w:spacing w:val="7"/>
          <w:sz w:val="31"/>
          <w:szCs w:val="31"/>
        </w:rPr>
        <w:t>内在要求，是优化营商环境的有力举措，是加快信用体系建设、</w:t>
      </w:r>
      <w:r>
        <w:rPr>
          <w:rFonts w:ascii="FangSong_GB2312" w:hAnsi="FangSong_GB2312" w:eastAsia="FangSong_GB2312" w:cs="FangSong_GB2312"/>
          <w:spacing w:val="10"/>
          <w:sz w:val="31"/>
          <w:szCs w:val="31"/>
        </w:rPr>
        <w:t>创新事中事后监管的重要内容。要充分认识全面推行</w:t>
      </w:r>
      <w:r>
        <w:rPr>
          <w:rFonts w:ascii="Times New Roman" w:hAnsi="Times New Roman" w:eastAsia="Times New Roman" w:cs="Times New Roman"/>
          <w:spacing w:val="10"/>
          <w:sz w:val="31"/>
          <w:szCs w:val="31"/>
        </w:rPr>
        <w:t>“</w:t>
      </w:r>
      <w:r>
        <w:rPr>
          <w:rFonts w:ascii="FangSong_GB2312" w:hAnsi="FangSong_GB2312" w:eastAsia="FangSong_GB2312" w:cs="FangSong_GB2312"/>
          <w:spacing w:val="10"/>
          <w:sz w:val="31"/>
          <w:szCs w:val="31"/>
        </w:rPr>
        <w:t>双随机、</w:t>
      </w:r>
      <w:r>
        <w:rPr>
          <w:rFonts w:ascii="FangSong_GB2312" w:hAnsi="FangSong_GB2312" w:eastAsia="FangSong_GB2312" w:cs="FangSong_GB2312"/>
          <w:spacing w:val="9"/>
          <w:sz w:val="31"/>
          <w:szCs w:val="31"/>
        </w:rPr>
        <w:t>一公开</w:t>
      </w:r>
      <w:r>
        <w:rPr>
          <w:rFonts w:ascii="Times New Roman" w:hAnsi="Times New Roman" w:eastAsia="Times New Roman" w:cs="Times New Roman"/>
          <w:spacing w:val="9"/>
          <w:sz w:val="31"/>
          <w:szCs w:val="31"/>
        </w:rPr>
        <w:t>”</w:t>
      </w:r>
      <w:r>
        <w:rPr>
          <w:rFonts w:ascii="FangSong_GB2312" w:hAnsi="FangSong_GB2312" w:eastAsia="FangSong_GB2312" w:cs="FangSong_GB2312"/>
          <w:spacing w:val="9"/>
          <w:sz w:val="31"/>
          <w:szCs w:val="31"/>
        </w:rPr>
        <w:t>监管工作的重要性、紧迫性，加强组织领导，强化业务培训，为全面实施</w:t>
      </w:r>
      <w:r>
        <w:rPr>
          <w:rFonts w:ascii="Times New Roman" w:hAnsi="Times New Roman" w:eastAsia="Times New Roman" w:cs="Times New Roman"/>
          <w:spacing w:val="9"/>
          <w:sz w:val="31"/>
          <w:szCs w:val="31"/>
        </w:rPr>
        <w:t>“</w:t>
      </w:r>
      <w:r>
        <w:rPr>
          <w:rFonts w:ascii="FangSong_GB2312" w:hAnsi="FangSong_GB2312" w:eastAsia="FangSong_GB2312" w:cs="FangSong_GB2312"/>
          <w:spacing w:val="9"/>
          <w:sz w:val="31"/>
          <w:szCs w:val="31"/>
        </w:rPr>
        <w:t>双随机、一公开</w:t>
      </w:r>
      <w:r>
        <w:rPr>
          <w:rFonts w:ascii="Times New Roman" w:hAnsi="Times New Roman" w:eastAsia="Times New Roman" w:cs="Times New Roman"/>
          <w:spacing w:val="9"/>
          <w:sz w:val="31"/>
          <w:szCs w:val="31"/>
        </w:rPr>
        <w:t>”</w:t>
      </w:r>
      <w:r>
        <w:rPr>
          <w:rFonts w:ascii="FangSong_GB2312" w:hAnsi="FangSong_GB2312" w:eastAsia="FangSong_GB2312" w:cs="FangSong_GB2312"/>
          <w:spacing w:val="9"/>
          <w:sz w:val="31"/>
          <w:szCs w:val="31"/>
        </w:rPr>
        <w:t>监管奠定坚实的基础。</w:t>
      </w:r>
    </w:p>
    <w:p w14:paraId="49B3CA77">
      <w:pPr>
        <w:spacing w:before="189" w:line="305" w:lineRule="auto"/>
        <w:ind w:right="52" w:firstLine="703"/>
        <w:rPr>
          <w:rFonts w:ascii="FangSong_GB2312" w:hAnsi="FangSong_GB2312" w:eastAsia="FangSong_GB2312" w:cs="FangSong_GB2312"/>
          <w:sz w:val="31"/>
          <w:szCs w:val="31"/>
        </w:rPr>
      </w:pPr>
      <w:r>
        <w:rPr>
          <w:rFonts w:ascii="KaiTi_GB2312" w:hAnsi="KaiTi_GB2312" w:eastAsia="KaiTi_GB2312" w:cs="KaiTi_GB2312"/>
          <w:spacing w:val="5"/>
          <w:sz w:val="31"/>
          <w:szCs w:val="31"/>
        </w:rPr>
        <w:t>（二）强化信用风险分类监管与双随机抽查工作相结合。</w:t>
      </w:r>
      <w:r>
        <w:rPr>
          <w:rFonts w:ascii="FangSong_GB2312" w:hAnsi="FangSong_GB2312" w:eastAsia="FangSong_GB2312" w:cs="FangSong_GB2312"/>
          <w:spacing w:val="5"/>
          <w:sz w:val="31"/>
          <w:szCs w:val="31"/>
        </w:rPr>
        <w:t>在</w:t>
      </w:r>
      <w:r>
        <w:rPr>
          <w:rFonts w:ascii="Times New Roman" w:hAnsi="Times New Roman" w:eastAsia="Times New Roman" w:cs="Times New Roman"/>
          <w:spacing w:val="9"/>
          <w:sz w:val="31"/>
          <w:szCs w:val="31"/>
        </w:rPr>
        <w:t>“</w:t>
      </w:r>
      <w:r>
        <w:rPr>
          <w:rFonts w:ascii="FangSong_GB2312" w:hAnsi="FangSong_GB2312" w:eastAsia="FangSong_GB2312" w:cs="FangSong_GB2312"/>
          <w:spacing w:val="9"/>
          <w:sz w:val="31"/>
          <w:szCs w:val="31"/>
        </w:rPr>
        <w:t>双随机、一公开</w:t>
      </w:r>
      <w:r>
        <w:rPr>
          <w:rFonts w:ascii="Times New Roman" w:hAnsi="Times New Roman" w:eastAsia="Times New Roman" w:cs="Times New Roman"/>
          <w:spacing w:val="9"/>
          <w:sz w:val="31"/>
          <w:szCs w:val="31"/>
        </w:rPr>
        <w:t>”</w:t>
      </w:r>
      <w:r>
        <w:rPr>
          <w:rFonts w:ascii="FangSong_GB2312" w:hAnsi="FangSong_GB2312" w:eastAsia="FangSong_GB2312" w:cs="FangSong_GB2312"/>
          <w:spacing w:val="9"/>
          <w:sz w:val="31"/>
          <w:szCs w:val="31"/>
        </w:rPr>
        <w:t>抽查事中事后监管工作中，针对</w:t>
      </w:r>
      <w:r>
        <w:rPr>
          <w:rFonts w:ascii="FangSong_GB2312" w:hAnsi="FangSong_GB2312" w:eastAsia="FangSong_GB2312" w:cs="FangSong_GB2312"/>
          <w:spacing w:val="8"/>
          <w:sz w:val="31"/>
          <w:szCs w:val="31"/>
        </w:rPr>
        <w:t>不同信用类别企业采取差异化监管措施。在双随机抽查中对警示、失信</w:t>
      </w:r>
      <w:r>
        <w:rPr>
          <w:rFonts w:ascii="FangSong_GB2312" w:hAnsi="FangSong_GB2312" w:eastAsia="FangSong_GB2312" w:cs="FangSong_GB2312"/>
          <w:spacing w:val="7"/>
          <w:sz w:val="31"/>
          <w:szCs w:val="31"/>
        </w:rPr>
        <w:t>类企业</w:t>
      </w:r>
      <w:r>
        <w:rPr>
          <w:rFonts w:ascii="FangSong_GB2312" w:hAnsi="FangSong_GB2312" w:eastAsia="FangSong_GB2312" w:cs="FangSong_GB2312"/>
          <w:spacing w:val="11"/>
          <w:sz w:val="31"/>
          <w:szCs w:val="31"/>
        </w:rPr>
        <w:t>递加比例进行抽取，确保信用风险分类差异化抽查措施应用。</w:t>
      </w:r>
    </w:p>
    <w:p w14:paraId="57C8CA76">
      <w:pPr>
        <w:spacing w:before="191" w:line="305" w:lineRule="auto"/>
        <w:ind w:left="70" w:right="49" w:firstLine="632"/>
        <w:rPr>
          <w:rFonts w:ascii="FangSong_GB2312" w:hAnsi="FangSong_GB2312" w:eastAsia="FangSong_GB2312" w:cs="FangSong_GB2312"/>
          <w:sz w:val="31"/>
          <w:szCs w:val="31"/>
        </w:rPr>
      </w:pPr>
      <w:r>
        <w:rPr>
          <w:rFonts w:ascii="KaiTi_GB2312" w:hAnsi="KaiTi_GB2312" w:eastAsia="KaiTi_GB2312" w:cs="KaiTi_GB2312"/>
          <w:spacing w:val="5"/>
          <w:sz w:val="31"/>
          <w:szCs w:val="31"/>
        </w:rPr>
        <w:t>（三）加强抽查结果分析评估。</w:t>
      </w:r>
      <w:r>
        <w:rPr>
          <w:rFonts w:ascii="FangSong_GB2312" w:hAnsi="FangSong_GB2312" w:eastAsia="FangSong_GB2312" w:cs="FangSong_GB2312"/>
          <w:spacing w:val="5"/>
          <w:sz w:val="31"/>
          <w:szCs w:val="31"/>
        </w:rPr>
        <w:t>强化对年度抽查工作计划实施情况的跟踪问效，坚持问题导向，将双随机抽查作为发现问题线索的重要手段，认真开展分析评估，及时掌握监管中的风险领</w:t>
      </w:r>
      <w:r>
        <w:rPr>
          <w:rFonts w:ascii="FangSong_GB2312" w:hAnsi="FangSong_GB2312" w:eastAsia="FangSong_GB2312" w:cs="FangSong_GB2312"/>
          <w:spacing w:val="8"/>
          <w:sz w:val="31"/>
          <w:szCs w:val="31"/>
        </w:rPr>
        <w:t>域和薄弱环节，采取进一步监管措施。</w:t>
      </w:r>
    </w:p>
    <w:p w14:paraId="712A66D2">
      <w:pPr>
        <w:pStyle w:val="2"/>
        <w:spacing w:line="250" w:lineRule="auto"/>
      </w:pPr>
    </w:p>
    <w:p w14:paraId="2B93ACDE">
      <w:pPr>
        <w:pStyle w:val="2"/>
        <w:spacing w:line="250" w:lineRule="auto"/>
      </w:pPr>
    </w:p>
    <w:p w14:paraId="10EBD988">
      <w:pPr>
        <w:pStyle w:val="2"/>
        <w:spacing w:line="251" w:lineRule="auto"/>
      </w:pPr>
    </w:p>
    <w:p w14:paraId="19C5E88D">
      <w:pPr>
        <w:spacing w:before="101" w:line="334" w:lineRule="auto"/>
        <w:ind w:left="68" w:right="275" w:firstLine="26"/>
        <w:rPr>
          <w:rFonts w:ascii="FangSong_GB2312" w:hAnsi="FangSong_GB2312" w:eastAsia="FangSong_GB2312" w:cs="FangSong_GB2312"/>
          <w:sz w:val="31"/>
          <w:szCs w:val="31"/>
        </w:rPr>
      </w:pPr>
      <w:r>
        <w:rPr>
          <w:rFonts w:ascii="FangSong_GB2312" w:hAnsi="FangSong_GB2312" w:eastAsia="FangSong_GB2312" w:cs="FangSong_GB2312"/>
          <w:spacing w:val="7"/>
          <w:sz w:val="31"/>
          <w:szCs w:val="31"/>
        </w:rPr>
        <w:t>附件：准格尔旗卫健委</w:t>
      </w:r>
      <w:r>
        <w:rPr>
          <w:rFonts w:ascii="FangSong_GB2312" w:hAnsi="FangSong_GB2312" w:eastAsia="FangSong_GB2312" w:cs="FangSong_GB2312"/>
          <w:spacing w:val="-57"/>
          <w:sz w:val="31"/>
          <w:szCs w:val="31"/>
        </w:rPr>
        <w:t xml:space="preserve"> </w:t>
      </w:r>
      <w:r>
        <w:rPr>
          <w:rFonts w:ascii="Times New Roman" w:hAnsi="Times New Roman" w:eastAsia="Times New Roman" w:cs="Times New Roman"/>
          <w:spacing w:val="7"/>
          <w:sz w:val="31"/>
          <w:szCs w:val="31"/>
        </w:rPr>
        <w:t xml:space="preserve">2025 </w:t>
      </w:r>
      <w:r>
        <w:rPr>
          <w:rFonts w:ascii="FangSong_GB2312" w:hAnsi="FangSong_GB2312" w:eastAsia="FangSong_GB2312" w:cs="FangSong_GB2312"/>
          <w:spacing w:val="7"/>
          <w:sz w:val="31"/>
          <w:szCs w:val="31"/>
        </w:rPr>
        <w:t>年度市场监管领域部门联合</w:t>
      </w:r>
      <w:r>
        <w:rPr>
          <w:rFonts w:ascii="Times New Roman" w:hAnsi="Times New Roman" w:eastAsia="Times New Roman" w:cs="Times New Roman"/>
          <w:spacing w:val="7"/>
          <w:sz w:val="31"/>
          <w:szCs w:val="31"/>
        </w:rPr>
        <w:t>“</w:t>
      </w:r>
      <w:r>
        <w:rPr>
          <w:rFonts w:ascii="FangSong_GB2312" w:hAnsi="FangSong_GB2312" w:eastAsia="FangSong_GB2312" w:cs="FangSong_GB2312"/>
          <w:spacing w:val="7"/>
          <w:sz w:val="31"/>
          <w:szCs w:val="31"/>
        </w:rPr>
        <w:t>双随</w:t>
      </w:r>
      <w:r>
        <w:rPr>
          <w:rFonts w:ascii="FangSong_GB2312" w:hAnsi="FangSong_GB2312" w:eastAsia="FangSong_GB2312" w:cs="FangSong_GB2312"/>
          <w:spacing w:val="8"/>
          <w:sz w:val="31"/>
          <w:szCs w:val="31"/>
        </w:rPr>
        <w:t>机、一公开</w:t>
      </w:r>
      <w:r>
        <w:rPr>
          <w:rFonts w:ascii="Times New Roman" w:hAnsi="Times New Roman" w:eastAsia="Times New Roman" w:cs="Times New Roman"/>
          <w:spacing w:val="8"/>
          <w:sz w:val="31"/>
          <w:szCs w:val="31"/>
        </w:rPr>
        <w:t>”</w:t>
      </w:r>
      <w:r>
        <w:rPr>
          <w:rFonts w:ascii="FangSong_GB2312" w:hAnsi="FangSong_GB2312" w:eastAsia="FangSong_GB2312" w:cs="FangSong_GB2312"/>
          <w:spacing w:val="8"/>
          <w:sz w:val="31"/>
          <w:szCs w:val="31"/>
        </w:rPr>
        <w:t>随机抽查事项清单</w:t>
      </w:r>
    </w:p>
    <w:p w14:paraId="3BDF2E3D">
      <w:pPr>
        <w:pStyle w:val="2"/>
        <w:spacing w:line="445" w:lineRule="auto"/>
      </w:pPr>
    </w:p>
    <w:p w14:paraId="74A1D6CA">
      <w:pPr>
        <w:spacing w:before="101" w:line="219" w:lineRule="auto"/>
        <w:jc w:val="right"/>
      </w:pPr>
      <w:r>
        <w:rPr>
          <w:rFonts w:ascii="FangSong_GB2312" w:hAnsi="FangSong_GB2312" w:eastAsia="FangSong_GB2312" w:cs="FangSong_GB2312"/>
          <w:spacing w:val="8"/>
          <w:sz w:val="31"/>
          <w:szCs w:val="31"/>
        </w:rPr>
        <w:t>准格尔旗卫生健康委员会</w:t>
      </w:r>
    </w:p>
    <w:p w14:paraId="0FC6890D">
      <w:pPr>
        <w:spacing w:before="101" w:line="220" w:lineRule="auto"/>
        <w:ind w:left="5842"/>
        <w:rPr>
          <w:rFonts w:hint="eastAsia" w:ascii="FangSong_GB2312" w:hAnsi="FangSong_GB2312" w:eastAsia="FangSong_GB2312" w:cs="FangSong_GB2312"/>
          <w:spacing w:val="-8"/>
          <w:sz w:val="31"/>
          <w:szCs w:val="31"/>
          <w:lang w:val="en-US" w:eastAsia="zh-CN"/>
        </w:rPr>
        <w:sectPr>
          <w:headerReference r:id="rId5" w:type="default"/>
          <w:footerReference r:id="rId6" w:type="default"/>
          <w:pgSz w:w="11906" w:h="16839"/>
          <w:pgMar w:top="1593" w:right="1344" w:bottom="1518" w:left="1587" w:header="0" w:footer="1244" w:gutter="0"/>
          <w:cols w:space="720" w:num="1"/>
        </w:sectPr>
      </w:pPr>
      <w:r>
        <w:rPr>
          <w:rFonts w:ascii="FangSong_GB2312" w:hAnsi="FangSong_GB2312" w:eastAsia="FangSong_GB2312" w:cs="FangSong_GB2312"/>
          <w:spacing w:val="-8"/>
          <w:sz w:val="31"/>
          <w:szCs w:val="31"/>
        </w:rPr>
        <w:t>2025</w:t>
      </w:r>
      <w:r>
        <w:rPr>
          <w:rFonts w:ascii="FangSong_GB2312" w:hAnsi="FangSong_GB2312" w:eastAsia="FangSong_GB2312" w:cs="FangSong_GB2312"/>
          <w:spacing w:val="-54"/>
          <w:sz w:val="31"/>
          <w:szCs w:val="31"/>
        </w:rPr>
        <w:t xml:space="preserve"> </w:t>
      </w:r>
      <w:r>
        <w:rPr>
          <w:rFonts w:ascii="FangSong_GB2312" w:hAnsi="FangSong_GB2312" w:eastAsia="FangSong_GB2312" w:cs="FangSong_GB2312"/>
          <w:spacing w:val="-8"/>
          <w:sz w:val="31"/>
          <w:szCs w:val="31"/>
        </w:rPr>
        <w:t>年</w:t>
      </w:r>
      <w:r>
        <w:rPr>
          <w:rFonts w:ascii="FangSong_GB2312" w:hAnsi="FangSong_GB2312" w:eastAsia="FangSong_GB2312" w:cs="FangSong_GB2312"/>
          <w:spacing w:val="-35"/>
          <w:sz w:val="31"/>
          <w:szCs w:val="31"/>
        </w:rPr>
        <w:t xml:space="preserve"> </w:t>
      </w:r>
      <w:r>
        <w:rPr>
          <w:rFonts w:ascii="FangSong_GB2312" w:hAnsi="FangSong_GB2312" w:eastAsia="FangSong_GB2312" w:cs="FangSong_GB2312"/>
          <w:spacing w:val="-8"/>
          <w:sz w:val="31"/>
          <w:szCs w:val="31"/>
        </w:rPr>
        <w:t>3</w:t>
      </w:r>
      <w:r>
        <w:rPr>
          <w:rFonts w:ascii="FangSong_GB2312" w:hAnsi="FangSong_GB2312" w:eastAsia="FangSong_GB2312" w:cs="FangSong_GB2312"/>
          <w:spacing w:val="-46"/>
          <w:sz w:val="31"/>
          <w:szCs w:val="31"/>
        </w:rPr>
        <w:t xml:space="preserve"> </w:t>
      </w:r>
      <w:r>
        <w:rPr>
          <w:rFonts w:ascii="FangSong_GB2312" w:hAnsi="FangSong_GB2312" w:eastAsia="FangSong_GB2312" w:cs="FangSong_GB2312"/>
          <w:spacing w:val="-8"/>
          <w:sz w:val="31"/>
          <w:szCs w:val="31"/>
        </w:rPr>
        <w:t>月</w:t>
      </w:r>
      <w:r>
        <w:rPr>
          <w:rFonts w:ascii="FangSong_GB2312" w:hAnsi="FangSong_GB2312" w:eastAsia="FangSong_GB2312" w:cs="FangSong_GB2312"/>
          <w:spacing w:val="-51"/>
          <w:sz w:val="31"/>
          <w:szCs w:val="31"/>
        </w:rPr>
        <w:t xml:space="preserve"> </w:t>
      </w:r>
      <w:r>
        <w:rPr>
          <w:rFonts w:ascii="FangSong_GB2312" w:hAnsi="FangSong_GB2312" w:eastAsia="FangSong_GB2312" w:cs="FangSong_GB2312"/>
          <w:spacing w:val="-8"/>
          <w:sz w:val="31"/>
          <w:szCs w:val="31"/>
        </w:rPr>
        <w:t>27</w:t>
      </w:r>
      <w:r>
        <w:rPr>
          <w:rFonts w:hint="eastAsia" w:ascii="FangSong_GB2312" w:hAnsi="FangSong_GB2312" w:eastAsia="FangSong_GB2312" w:cs="FangSong_GB2312"/>
          <w:spacing w:val="-8"/>
          <w:sz w:val="31"/>
          <w:szCs w:val="31"/>
          <w:lang w:val="en-US" w:eastAsia="zh-CN"/>
        </w:rPr>
        <w:t xml:space="preserve"> 日</w:t>
      </w:r>
    </w:p>
    <w:p w14:paraId="64041C94">
      <w:pPr>
        <w:spacing w:before="101" w:line="220" w:lineRule="auto"/>
        <w:rPr>
          <w:rFonts w:hint="eastAsia" w:ascii="FangSong_GB2312" w:hAnsi="FangSong_GB2312" w:eastAsia="FangSong_GB2312" w:cs="FangSong_GB2312"/>
          <w:spacing w:val="-8"/>
          <w:sz w:val="31"/>
          <w:szCs w:val="31"/>
          <w:lang w:val="en-US" w:eastAsia="zh-CN"/>
        </w:rPr>
      </w:pPr>
      <w:bookmarkStart w:id="0" w:name="_GoBack"/>
      <w:r>
        <w:rPr>
          <w:rFonts w:hint="eastAsia" w:ascii="FangSong_GB2312" w:hAnsi="FangSong_GB2312" w:eastAsia="FangSong_GB2312" w:cs="FangSong_GB2312"/>
          <w:spacing w:val="-8"/>
          <w:sz w:val="31"/>
          <w:szCs w:val="31"/>
          <w:lang w:val="en-US" w:eastAsia="zh-CN"/>
        </w:rPr>
        <w:drawing>
          <wp:inline distT="0" distB="0" distL="114300" distR="114300">
            <wp:extent cx="5692775" cy="8051165"/>
            <wp:effectExtent l="0" t="0" r="3175" b="6985"/>
            <wp:docPr id="2" name="图片 2" descr="准卫健发〔2025〕44号 准格尔旗卫生健康委员会2025年“双随机、一公开”工作计划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准卫健发〔2025〕44号 准格尔旗卫生健康委员会2025年“双随机、一公开”工作计划_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805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ascii="FangSong_GB2312" w:hAnsi="FangSong_GB2312" w:eastAsia="FangSong_GB2312" w:cs="FangSong_GB2312"/>
          <w:spacing w:val="-8"/>
          <w:sz w:val="31"/>
          <w:szCs w:val="31"/>
          <w:lang w:val="en-US" w:eastAsia="zh-CN"/>
        </w:rPr>
        <w:drawing>
          <wp:inline distT="0" distB="0" distL="114300" distR="114300">
            <wp:extent cx="5692775" cy="8051165"/>
            <wp:effectExtent l="0" t="0" r="3175" b="6985"/>
            <wp:docPr id="1" name="图片 1" descr="准卫健发〔2025〕44号 准格尔旗卫生健康委员会2025年“双随机、一公开”工作计划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准卫健发〔2025〕44号 准格尔旗卫生健康委员会2025年“双随机、一公开”工作计划_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805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9"/>
      <w:pgMar w:top="1593" w:right="1344" w:bottom="1518" w:left="1587" w:header="0" w:footer="1244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FangSong_GB2312">
    <w:altName w:val="仿宋_GB2312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KaiTi_GB2312">
    <w:altName w:val="楷体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109B68">
    <w:pPr>
      <w:spacing w:line="174" w:lineRule="auto"/>
      <w:ind w:left="28"/>
      <w:rPr>
        <w:rFonts w:ascii="FangSong_GB2312" w:hAnsi="FangSong_GB2312" w:eastAsia="FangSong_GB2312" w:cs="FangSong_GB2312"/>
        <w:sz w:val="28"/>
        <w:szCs w:val="28"/>
      </w:rPr>
    </w:pPr>
    <w:r>
      <w:rPr>
        <w:rFonts w:ascii="FangSong_GB2312" w:hAnsi="FangSong_GB2312" w:eastAsia="FangSong_GB2312" w:cs="FangSong_GB2312"/>
        <w:spacing w:val="-8"/>
        <w:sz w:val="28"/>
        <w:szCs w:val="28"/>
      </w:rPr>
      <w:t>—</w:t>
    </w:r>
    <w:r>
      <w:rPr>
        <w:rFonts w:ascii="Times New Roman" w:hAnsi="Times New Roman" w:eastAsia="Times New Roman" w:cs="Times New Roman"/>
        <w:spacing w:val="-8"/>
        <w:sz w:val="28"/>
        <w:szCs w:val="28"/>
      </w:rPr>
      <w:t>8</w:t>
    </w:r>
    <w:r>
      <w:rPr>
        <w:rFonts w:ascii="FangSong_GB2312" w:hAnsi="FangSong_GB2312" w:eastAsia="FangSong_GB2312" w:cs="FangSong_GB2312"/>
        <w:spacing w:val="-8"/>
        <w:sz w:val="28"/>
        <w:szCs w:val="28"/>
      </w:rPr>
      <w:t>—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A9B1FB">
    <w:pPr>
      <w:pStyle w:val="2"/>
      <w:spacing w:line="14" w:lineRule="auto"/>
      <w:rPr>
        <w:sz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isplayBackgroundShape w:val="1"/>
  <w:documentProtection w:enforcement="0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</w:compat>
  <w:rsids>
    <w:rsidRoot w:val="00000000"/>
    <w:rsid w:val="02D5623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table" w:customStyle="1" w:styleId="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5</Pages>
  <Words>1171</Words>
  <Characters>1213</Characters>
  <TotalTime>2</TotalTime>
  <ScaleCrop>false</ScaleCrop>
  <LinksUpToDate>false</LinksUpToDate>
  <CharactersWithSpaces>1238</CharactersWithSpaces>
  <Application>WPS Office_12.1.0.23542_F1E327BC-269C-435d-A152-05C5408002CA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2025-11-28T19:51:00Z</dcterms:created>
  <dc:creator>Administrator</dc:creator>
  <cp:lastModifiedBy>白云</cp:lastModifiedBy>
  <dcterms:modified xsi:type="dcterms:W3CDTF">2025-12-01T04:29:57Z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wqlLaW5nc29mdCBQREYgdG8gV1BTIDExNQ</vt:lpwstr>
  </property>
  <property fmtid="{D5CDD505-2E9C-101B-9397-08002B2CF9AE}" pid="3" name="Created">
    <vt:filetime>2025-12-01T12:24:58Z</vt:filetime>
  </property>
  <property fmtid="{D5CDD505-2E9C-101B-9397-08002B2CF9AE}" pid="4" name="KSOTemplateDocerSaveRecord">
    <vt:lpwstr>eyJoZGlkIjoiMTJjNGI4ZTQxYzNiNjM4OTQ0ZTE2N2U1NzY4NDM4OTgiLCJ1c2VySWQiOiI1MDYzNzQ5NjMifQ==</vt:lpwstr>
  </property>
  <property fmtid="{D5CDD505-2E9C-101B-9397-08002B2CF9AE}" pid="5" name="KSOProductBuildVer">
    <vt:lpwstr>2052-12.1.0.23542</vt:lpwstr>
  </property>
  <property fmtid="{D5CDD505-2E9C-101B-9397-08002B2CF9AE}" pid="6" name="ICV">
    <vt:lpwstr>56D8F065751E4D8DA4C70F8E3B7E6EC3_13</vt:lpwstr>
  </property>
</Properties>
</file>